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w w:val="95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w w:val="95"/>
          <w:sz w:val="44"/>
          <w:szCs w:val="44"/>
        </w:rPr>
        <w:t>全省教育系统学雷锋活动先进集体推荐表</w:t>
      </w:r>
      <w:bookmarkEnd w:id="0"/>
    </w:p>
    <w:p>
      <w:pPr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（高校、省属中职、厅直中小学）</w:t>
      </w:r>
    </w:p>
    <w:tbl>
      <w:tblPr>
        <w:tblStyle w:val="3"/>
        <w:tblW w:w="872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587"/>
        <w:gridCol w:w="1599"/>
        <w:gridCol w:w="2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集体名称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集体负责人</w:t>
            </w:r>
          </w:p>
        </w:tc>
        <w:tc>
          <w:tcPr>
            <w:tcW w:w="2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主要服务阵地</w:t>
            </w:r>
          </w:p>
        </w:tc>
        <w:tc>
          <w:tcPr>
            <w:tcW w:w="2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3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2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ind w:right="-8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（限中等职业学校）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省委高校工委</w:t>
            </w:r>
          </w:p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省教育厅意见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此表由高校、省属中职、厅直中小学填写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71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珊湖/kf</cp:lastModifiedBy>
  <dcterms:modified xsi:type="dcterms:W3CDTF">2018-03-27T07:55:29Z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