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C70" w:rsidRDefault="00767C70" w:rsidP="00767C70">
      <w:pPr>
        <w:rPr>
          <w:rFonts w:ascii="黑体" w:eastAsia="黑体" w:hAnsi="仿宋" w:hint="eastAsia"/>
          <w:sz w:val="30"/>
          <w:szCs w:val="30"/>
        </w:rPr>
      </w:pPr>
      <w:r w:rsidRPr="00E45C42">
        <w:rPr>
          <w:rFonts w:ascii="黑体" w:eastAsia="黑体" w:hAnsi="仿宋" w:hint="eastAsia"/>
          <w:sz w:val="30"/>
          <w:szCs w:val="30"/>
        </w:rPr>
        <w:t>附件1</w:t>
      </w:r>
    </w:p>
    <w:p w:rsidR="00767C70" w:rsidRPr="00E45C42" w:rsidRDefault="00767C70" w:rsidP="00767C70">
      <w:pPr>
        <w:rPr>
          <w:rFonts w:ascii="黑体" w:eastAsia="黑体" w:hAnsi="仿宋" w:hint="eastAsia"/>
          <w:sz w:val="30"/>
          <w:szCs w:val="30"/>
        </w:rPr>
      </w:pPr>
    </w:p>
    <w:p w:rsidR="00767C70" w:rsidRDefault="00767C70" w:rsidP="00767C70">
      <w:pPr>
        <w:jc w:val="center"/>
        <w:rPr>
          <w:rFonts w:ascii="方正小标宋简体" w:eastAsia="方正小标宋简体" w:hAnsi="宋体" w:hint="eastAsia"/>
          <w:sz w:val="44"/>
          <w:szCs w:val="44"/>
        </w:rPr>
      </w:pPr>
      <w:r w:rsidRPr="00E45C42">
        <w:rPr>
          <w:rFonts w:ascii="方正小标宋简体" w:eastAsia="方正小标宋简体" w:hAnsi="宋体" w:hint="eastAsia"/>
          <w:sz w:val="44"/>
          <w:szCs w:val="44"/>
        </w:rPr>
        <w:t>2015年度全国教育科学规划国家重大和</w:t>
      </w:r>
    </w:p>
    <w:p w:rsidR="00767C70" w:rsidRPr="00E45C42" w:rsidRDefault="00767C70" w:rsidP="00767C70">
      <w:pPr>
        <w:jc w:val="center"/>
        <w:rPr>
          <w:rFonts w:ascii="方正小标宋简体" w:eastAsia="方正小标宋简体" w:hint="eastAsia"/>
          <w:sz w:val="44"/>
          <w:szCs w:val="44"/>
        </w:rPr>
      </w:pPr>
      <w:r w:rsidRPr="00E45C42">
        <w:rPr>
          <w:rFonts w:ascii="方正小标宋简体" w:eastAsia="方正小标宋简体" w:hAnsi="宋体" w:hint="eastAsia"/>
          <w:sz w:val="44"/>
          <w:szCs w:val="44"/>
        </w:rPr>
        <w:t>重点招标课题指南</w:t>
      </w:r>
    </w:p>
    <w:p w:rsidR="00767C70" w:rsidRPr="00E45C42" w:rsidRDefault="00767C70" w:rsidP="00767C70">
      <w:pPr>
        <w:spacing w:line="480" w:lineRule="auto"/>
        <w:jc w:val="center"/>
        <w:rPr>
          <w:rFonts w:ascii="黑体" w:eastAsia="黑体" w:hAnsi="仿宋" w:hint="eastAsia"/>
          <w:sz w:val="30"/>
          <w:szCs w:val="30"/>
        </w:rPr>
      </w:pPr>
      <w:r w:rsidRPr="00E45C42">
        <w:rPr>
          <w:rFonts w:ascii="黑体" w:eastAsia="黑体" w:hAnsi="仿宋" w:hint="eastAsia"/>
          <w:sz w:val="30"/>
          <w:szCs w:val="30"/>
        </w:rPr>
        <w:t>重大招标课题</w:t>
      </w:r>
    </w:p>
    <w:p w:rsidR="00767C70" w:rsidRPr="00E45C42" w:rsidRDefault="00767C70" w:rsidP="00767C70">
      <w:pPr>
        <w:widowControl w:val="0"/>
        <w:numPr>
          <w:ilvl w:val="0"/>
          <w:numId w:val="1"/>
        </w:numPr>
        <w:adjustRightInd/>
        <w:snapToGrid/>
        <w:spacing w:after="0"/>
        <w:ind w:left="0" w:firstLineChars="200" w:firstLine="620"/>
        <w:jc w:val="both"/>
        <w:rPr>
          <w:rFonts w:ascii="仿宋_GB2312" w:eastAsia="仿宋_GB2312" w:hAnsi="仿宋" w:hint="eastAsia"/>
          <w:sz w:val="30"/>
          <w:szCs w:val="30"/>
        </w:rPr>
      </w:pPr>
      <w:r w:rsidRPr="00E45C42">
        <w:rPr>
          <w:rFonts w:ascii="仿宋_GB2312" w:eastAsia="仿宋_GB2312" w:hAnsi="仿宋" w:hint="eastAsia"/>
          <w:sz w:val="30"/>
          <w:szCs w:val="30"/>
        </w:rPr>
        <w:t>“一带一路”战略中扩大教育开放研究</w:t>
      </w:r>
    </w:p>
    <w:p w:rsidR="00767C70" w:rsidRPr="00E45C42" w:rsidRDefault="00767C70" w:rsidP="00767C70">
      <w:pPr>
        <w:widowControl w:val="0"/>
        <w:numPr>
          <w:ilvl w:val="0"/>
          <w:numId w:val="1"/>
        </w:numPr>
        <w:adjustRightInd/>
        <w:snapToGrid/>
        <w:spacing w:after="0"/>
        <w:ind w:left="0" w:firstLineChars="200" w:firstLine="620"/>
        <w:jc w:val="both"/>
        <w:rPr>
          <w:rFonts w:ascii="仿宋_GB2312" w:eastAsia="仿宋_GB2312" w:hAnsi="仿宋" w:hint="eastAsia"/>
          <w:sz w:val="30"/>
          <w:szCs w:val="30"/>
        </w:rPr>
      </w:pPr>
      <w:r w:rsidRPr="00E45C42">
        <w:rPr>
          <w:rFonts w:ascii="仿宋_GB2312" w:eastAsia="仿宋_GB2312" w:hAnsi="仿宋" w:hint="eastAsia"/>
          <w:sz w:val="30"/>
          <w:szCs w:val="30"/>
        </w:rPr>
        <w:t>经济转型升级中的创新创业教育研究</w:t>
      </w:r>
    </w:p>
    <w:p w:rsidR="00767C70" w:rsidRPr="00E45C42" w:rsidRDefault="00767C70" w:rsidP="00767C70">
      <w:pPr>
        <w:widowControl w:val="0"/>
        <w:numPr>
          <w:ilvl w:val="0"/>
          <w:numId w:val="1"/>
        </w:numPr>
        <w:adjustRightInd/>
        <w:snapToGrid/>
        <w:spacing w:after="0"/>
        <w:ind w:left="0" w:firstLineChars="200" w:firstLine="620"/>
        <w:jc w:val="both"/>
        <w:rPr>
          <w:rFonts w:ascii="仿宋_GB2312" w:eastAsia="仿宋_GB2312" w:hAnsi="仿宋" w:hint="eastAsia"/>
          <w:sz w:val="30"/>
          <w:szCs w:val="30"/>
        </w:rPr>
      </w:pPr>
      <w:r w:rsidRPr="00E45C42">
        <w:rPr>
          <w:rFonts w:ascii="仿宋_GB2312" w:eastAsia="仿宋_GB2312" w:hAnsi="仿宋" w:hint="eastAsia"/>
          <w:sz w:val="30"/>
          <w:szCs w:val="30"/>
        </w:rPr>
        <w:t>适应新高考要求的普通高中学业水平考试与综合素质评价实施策略研究</w:t>
      </w:r>
    </w:p>
    <w:p w:rsidR="00767C70" w:rsidRPr="00E45C42" w:rsidRDefault="00767C70" w:rsidP="00767C70">
      <w:pPr>
        <w:widowControl w:val="0"/>
        <w:numPr>
          <w:ilvl w:val="0"/>
          <w:numId w:val="1"/>
        </w:numPr>
        <w:adjustRightInd/>
        <w:snapToGrid/>
        <w:spacing w:after="0"/>
        <w:ind w:left="0" w:firstLineChars="200" w:firstLine="620"/>
        <w:jc w:val="both"/>
        <w:rPr>
          <w:rFonts w:ascii="仿宋_GB2312" w:eastAsia="仿宋_GB2312" w:hAnsi="仿宋" w:hint="eastAsia"/>
          <w:sz w:val="30"/>
          <w:szCs w:val="30"/>
        </w:rPr>
      </w:pPr>
      <w:r w:rsidRPr="00E45C42">
        <w:rPr>
          <w:rFonts w:ascii="仿宋_GB2312" w:eastAsia="仿宋_GB2312" w:hAnsi="仿宋" w:hint="eastAsia"/>
          <w:sz w:val="30"/>
          <w:szCs w:val="30"/>
        </w:rPr>
        <w:t>法治教育融入国民教育体系的路径和机制研究</w:t>
      </w:r>
    </w:p>
    <w:p w:rsidR="00767C70" w:rsidRPr="00E45C42" w:rsidRDefault="00767C70" w:rsidP="00767C70">
      <w:pPr>
        <w:widowControl w:val="0"/>
        <w:numPr>
          <w:ilvl w:val="0"/>
          <w:numId w:val="1"/>
        </w:numPr>
        <w:adjustRightInd/>
        <w:snapToGrid/>
        <w:spacing w:after="0"/>
        <w:ind w:left="0" w:firstLineChars="200" w:firstLine="620"/>
        <w:jc w:val="both"/>
        <w:rPr>
          <w:rFonts w:ascii="仿宋_GB2312" w:eastAsia="仿宋_GB2312" w:hAnsi="仿宋" w:hint="eastAsia"/>
          <w:sz w:val="30"/>
          <w:szCs w:val="30"/>
        </w:rPr>
      </w:pPr>
      <w:r w:rsidRPr="00E45C42">
        <w:rPr>
          <w:rFonts w:ascii="仿宋_GB2312" w:eastAsia="仿宋_GB2312" w:hAnsi="仿宋" w:hint="eastAsia"/>
          <w:sz w:val="30"/>
          <w:szCs w:val="30"/>
        </w:rPr>
        <w:t>高校培育和践行社会主义核心价值观长效机制研究</w:t>
      </w:r>
    </w:p>
    <w:p w:rsidR="00767C70" w:rsidRPr="00E45C42" w:rsidRDefault="00767C70" w:rsidP="00767C70">
      <w:pPr>
        <w:spacing w:line="480" w:lineRule="auto"/>
        <w:jc w:val="center"/>
        <w:rPr>
          <w:rFonts w:ascii="黑体" w:eastAsia="黑体" w:hAnsi="仿宋" w:hint="eastAsia"/>
          <w:sz w:val="30"/>
          <w:szCs w:val="30"/>
        </w:rPr>
      </w:pPr>
      <w:r w:rsidRPr="00E45C42">
        <w:rPr>
          <w:rFonts w:ascii="黑体" w:eastAsia="黑体" w:hAnsi="仿宋" w:hint="eastAsia"/>
          <w:sz w:val="30"/>
          <w:szCs w:val="30"/>
        </w:rPr>
        <w:t>重点招标课题</w:t>
      </w:r>
    </w:p>
    <w:p w:rsidR="00767C70" w:rsidRPr="00E45C42" w:rsidRDefault="00767C70" w:rsidP="00767C70">
      <w:pPr>
        <w:widowControl w:val="0"/>
        <w:numPr>
          <w:ilvl w:val="0"/>
          <w:numId w:val="2"/>
        </w:numPr>
        <w:adjustRightInd/>
        <w:snapToGrid/>
        <w:spacing w:after="0"/>
        <w:ind w:left="0" w:firstLineChars="200" w:firstLine="620"/>
        <w:jc w:val="both"/>
        <w:rPr>
          <w:rFonts w:ascii="仿宋_GB2312" w:eastAsia="仿宋_GB2312" w:hAnsi="仿宋" w:hint="eastAsia"/>
          <w:sz w:val="30"/>
          <w:szCs w:val="30"/>
        </w:rPr>
      </w:pPr>
      <w:r w:rsidRPr="00E45C42">
        <w:rPr>
          <w:rFonts w:ascii="仿宋_GB2312" w:eastAsia="仿宋_GB2312" w:hAnsi="仿宋" w:hint="eastAsia"/>
          <w:sz w:val="30"/>
          <w:szCs w:val="30"/>
        </w:rPr>
        <w:t>京津冀教育协同发展研究</w:t>
      </w:r>
    </w:p>
    <w:p w:rsidR="00767C70" w:rsidRPr="00E45C42" w:rsidRDefault="00767C70" w:rsidP="00767C70">
      <w:pPr>
        <w:widowControl w:val="0"/>
        <w:numPr>
          <w:ilvl w:val="0"/>
          <w:numId w:val="2"/>
        </w:numPr>
        <w:adjustRightInd/>
        <w:snapToGrid/>
        <w:spacing w:after="0"/>
        <w:ind w:left="0" w:firstLineChars="200" w:firstLine="620"/>
        <w:jc w:val="both"/>
        <w:rPr>
          <w:rFonts w:ascii="仿宋_GB2312" w:eastAsia="仿宋_GB2312" w:hAnsi="仿宋" w:hint="eastAsia"/>
          <w:sz w:val="30"/>
          <w:szCs w:val="30"/>
        </w:rPr>
      </w:pPr>
      <w:r w:rsidRPr="00E45C42">
        <w:rPr>
          <w:rFonts w:ascii="仿宋_GB2312" w:eastAsia="仿宋_GB2312" w:hAnsi="仿宋" w:hint="eastAsia"/>
          <w:sz w:val="30"/>
          <w:szCs w:val="30"/>
        </w:rPr>
        <w:t>区域教育综合改革的推进路径和监测体系研究</w:t>
      </w:r>
    </w:p>
    <w:p w:rsidR="00767C70" w:rsidRPr="00E45C42" w:rsidRDefault="00767C70" w:rsidP="00767C70">
      <w:pPr>
        <w:widowControl w:val="0"/>
        <w:numPr>
          <w:ilvl w:val="0"/>
          <w:numId w:val="2"/>
        </w:numPr>
        <w:adjustRightInd/>
        <w:snapToGrid/>
        <w:spacing w:after="0"/>
        <w:ind w:left="0" w:firstLineChars="200" w:firstLine="620"/>
        <w:jc w:val="both"/>
        <w:rPr>
          <w:rFonts w:ascii="仿宋_GB2312" w:eastAsia="仿宋_GB2312" w:hAnsi="仿宋" w:hint="eastAsia"/>
          <w:sz w:val="30"/>
          <w:szCs w:val="30"/>
        </w:rPr>
      </w:pPr>
      <w:r w:rsidRPr="00E45C42">
        <w:rPr>
          <w:rFonts w:ascii="仿宋_GB2312" w:eastAsia="仿宋_GB2312" w:hAnsi="仿宋" w:hint="eastAsia"/>
          <w:sz w:val="30"/>
          <w:szCs w:val="30"/>
        </w:rPr>
        <w:t>全面提升农村教育质量背景下的农村教师结构调整及编制需求研究</w:t>
      </w:r>
    </w:p>
    <w:p w:rsidR="00767C70" w:rsidRPr="00E45C42" w:rsidRDefault="00767C70" w:rsidP="00767C70">
      <w:pPr>
        <w:widowControl w:val="0"/>
        <w:numPr>
          <w:ilvl w:val="0"/>
          <w:numId w:val="2"/>
        </w:numPr>
        <w:adjustRightInd/>
        <w:snapToGrid/>
        <w:spacing w:after="0"/>
        <w:ind w:left="0" w:firstLineChars="200" w:firstLine="620"/>
        <w:jc w:val="both"/>
        <w:rPr>
          <w:rFonts w:ascii="仿宋_GB2312" w:eastAsia="仿宋_GB2312" w:hAnsi="仿宋" w:hint="eastAsia"/>
          <w:sz w:val="30"/>
          <w:szCs w:val="30"/>
        </w:rPr>
      </w:pPr>
      <w:r w:rsidRPr="00E45C42">
        <w:rPr>
          <w:rFonts w:ascii="仿宋_GB2312" w:eastAsia="仿宋_GB2312" w:hAnsi="仿宋" w:hint="eastAsia"/>
          <w:sz w:val="30"/>
          <w:szCs w:val="30"/>
        </w:rPr>
        <w:t>地方高校转型发展研究</w:t>
      </w:r>
    </w:p>
    <w:p w:rsidR="00767C70" w:rsidRPr="00E45C42" w:rsidRDefault="00767C70" w:rsidP="00767C70">
      <w:pPr>
        <w:widowControl w:val="0"/>
        <w:numPr>
          <w:ilvl w:val="0"/>
          <w:numId w:val="2"/>
        </w:numPr>
        <w:adjustRightInd/>
        <w:snapToGrid/>
        <w:spacing w:after="0"/>
        <w:ind w:left="0" w:firstLineChars="200" w:firstLine="620"/>
        <w:jc w:val="both"/>
        <w:rPr>
          <w:rFonts w:ascii="仿宋_GB2312" w:eastAsia="仿宋_GB2312" w:hAnsi="仿宋" w:hint="eastAsia"/>
          <w:sz w:val="30"/>
          <w:szCs w:val="30"/>
        </w:rPr>
      </w:pPr>
      <w:r w:rsidRPr="00E45C42">
        <w:rPr>
          <w:rFonts w:ascii="仿宋_GB2312" w:eastAsia="仿宋_GB2312" w:hAnsi="仿宋" w:hint="eastAsia"/>
          <w:sz w:val="30"/>
          <w:szCs w:val="30"/>
        </w:rPr>
        <w:t>当代中国社会的教育责任研究</w:t>
      </w:r>
    </w:p>
    <w:p w:rsidR="00767C70" w:rsidRPr="00E45C42" w:rsidRDefault="00767C70" w:rsidP="00767C70">
      <w:pPr>
        <w:widowControl w:val="0"/>
        <w:numPr>
          <w:ilvl w:val="0"/>
          <w:numId w:val="2"/>
        </w:numPr>
        <w:adjustRightInd/>
        <w:snapToGrid/>
        <w:spacing w:after="0"/>
        <w:ind w:left="0" w:firstLineChars="200" w:firstLine="620"/>
        <w:jc w:val="both"/>
        <w:rPr>
          <w:rFonts w:ascii="仿宋_GB2312" w:eastAsia="仿宋_GB2312" w:hAnsi="仿宋" w:hint="eastAsia"/>
          <w:sz w:val="30"/>
          <w:szCs w:val="30"/>
        </w:rPr>
      </w:pPr>
      <w:r w:rsidRPr="00E45C42">
        <w:rPr>
          <w:rFonts w:ascii="仿宋_GB2312" w:eastAsia="仿宋_GB2312" w:hAnsi="仿宋" w:hint="eastAsia"/>
          <w:sz w:val="30"/>
          <w:szCs w:val="30"/>
        </w:rPr>
        <w:t>艺术教育综合改革研究</w:t>
      </w:r>
    </w:p>
    <w:p w:rsidR="00767C70" w:rsidRPr="00E45C42" w:rsidRDefault="00767C70" w:rsidP="00767C70">
      <w:pPr>
        <w:widowControl w:val="0"/>
        <w:numPr>
          <w:ilvl w:val="0"/>
          <w:numId w:val="2"/>
        </w:numPr>
        <w:adjustRightInd/>
        <w:snapToGrid/>
        <w:spacing w:after="0"/>
        <w:ind w:left="0" w:firstLineChars="200" w:firstLine="620"/>
        <w:jc w:val="both"/>
        <w:rPr>
          <w:rFonts w:ascii="仿宋_GB2312" w:eastAsia="仿宋_GB2312" w:hAnsi="仿宋" w:hint="eastAsia"/>
          <w:sz w:val="30"/>
          <w:szCs w:val="30"/>
        </w:rPr>
      </w:pPr>
      <w:r w:rsidRPr="00E45C42">
        <w:rPr>
          <w:rFonts w:ascii="仿宋_GB2312" w:eastAsia="仿宋_GB2312" w:hAnsi="仿宋" w:cs="宋体" w:hint="eastAsia"/>
          <w:sz w:val="30"/>
          <w:szCs w:val="30"/>
        </w:rPr>
        <w:lastRenderedPageBreak/>
        <w:t>聚焦深化教育领域综合改革中的青少年体育问题及对策研究</w:t>
      </w:r>
    </w:p>
    <w:p w:rsidR="00767C70" w:rsidRPr="00E45C42" w:rsidRDefault="00767C70" w:rsidP="00767C70">
      <w:pPr>
        <w:widowControl w:val="0"/>
        <w:numPr>
          <w:ilvl w:val="0"/>
          <w:numId w:val="2"/>
        </w:numPr>
        <w:adjustRightInd/>
        <w:snapToGrid/>
        <w:spacing w:after="0"/>
        <w:ind w:left="0" w:firstLineChars="200" w:firstLine="620"/>
        <w:jc w:val="both"/>
        <w:rPr>
          <w:rFonts w:ascii="仿宋_GB2312" w:eastAsia="仿宋_GB2312" w:hAnsi="仿宋" w:hint="eastAsia"/>
          <w:sz w:val="30"/>
          <w:szCs w:val="30"/>
        </w:rPr>
      </w:pPr>
      <w:r w:rsidRPr="00E45C42">
        <w:rPr>
          <w:rFonts w:ascii="仿宋_GB2312" w:eastAsia="仿宋_GB2312" w:hAnsi="仿宋" w:hint="eastAsia"/>
          <w:sz w:val="30"/>
          <w:szCs w:val="30"/>
        </w:rPr>
        <w:t>民族地区依法实施双语教育政策和模式研究</w:t>
      </w:r>
    </w:p>
    <w:p w:rsidR="00767C70" w:rsidRPr="00E45C42" w:rsidRDefault="00767C70" w:rsidP="00767C70">
      <w:pPr>
        <w:widowControl w:val="0"/>
        <w:numPr>
          <w:ilvl w:val="0"/>
          <w:numId w:val="2"/>
        </w:numPr>
        <w:adjustRightInd/>
        <w:snapToGrid/>
        <w:spacing w:after="0"/>
        <w:ind w:left="0" w:firstLineChars="200" w:firstLine="620"/>
        <w:jc w:val="both"/>
        <w:rPr>
          <w:rFonts w:ascii="仿宋_GB2312" w:eastAsia="仿宋_GB2312" w:hAnsi="仿宋" w:hint="eastAsia"/>
          <w:sz w:val="30"/>
          <w:szCs w:val="30"/>
        </w:rPr>
      </w:pPr>
      <w:r w:rsidRPr="00E45C42">
        <w:rPr>
          <w:rFonts w:ascii="仿宋_GB2312" w:eastAsia="仿宋_GB2312" w:hAnsi="仿宋" w:hint="eastAsia"/>
          <w:sz w:val="30"/>
          <w:szCs w:val="30"/>
        </w:rPr>
        <w:t>民办院校办学体制与发展政策研究</w:t>
      </w:r>
    </w:p>
    <w:p w:rsidR="00767C70" w:rsidRPr="00E45C42" w:rsidRDefault="00767C70" w:rsidP="00767C70">
      <w:pPr>
        <w:widowControl w:val="0"/>
        <w:numPr>
          <w:ilvl w:val="0"/>
          <w:numId w:val="2"/>
        </w:numPr>
        <w:adjustRightInd/>
        <w:snapToGrid/>
        <w:spacing w:after="0"/>
        <w:ind w:left="0" w:firstLineChars="200" w:firstLine="620"/>
        <w:jc w:val="both"/>
        <w:rPr>
          <w:rFonts w:ascii="仿宋_GB2312" w:eastAsia="仿宋_GB2312" w:hAnsi="仿宋" w:hint="eastAsia"/>
          <w:sz w:val="30"/>
          <w:szCs w:val="30"/>
        </w:rPr>
      </w:pPr>
      <w:r w:rsidRPr="00E45C42">
        <w:rPr>
          <w:rFonts w:ascii="仿宋_GB2312" w:eastAsia="仿宋_GB2312" w:hAnsi="仿宋" w:hint="eastAsia"/>
          <w:sz w:val="30"/>
          <w:szCs w:val="30"/>
        </w:rPr>
        <w:t>中国终身教育体系构建的路径与机制研究</w:t>
      </w:r>
    </w:p>
    <w:p w:rsidR="00767C70" w:rsidRDefault="00767C70" w:rsidP="00767C70">
      <w:pPr>
        <w:rPr>
          <w:rFonts w:ascii="仿宋_GB2312" w:eastAsia="仿宋_GB2312"/>
          <w:sz w:val="30"/>
          <w:szCs w:val="30"/>
        </w:rPr>
        <w:sectPr w:rsidR="00767C70" w:rsidSect="000B1CCB">
          <w:pgSz w:w="11906" w:h="16838" w:code="9"/>
          <w:pgMar w:top="1928" w:right="1588" w:bottom="1985" w:left="1644" w:header="0" w:footer="1588" w:gutter="0"/>
          <w:cols w:space="425"/>
          <w:docGrid w:type="linesAndChars" w:linePitch="587" w:charSpace="2004"/>
        </w:sect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6F8" w:rsidRDefault="006436F8" w:rsidP="00767C70">
      <w:pPr>
        <w:spacing w:after="0"/>
      </w:pPr>
      <w:r>
        <w:separator/>
      </w:r>
    </w:p>
  </w:endnote>
  <w:endnote w:type="continuationSeparator" w:id="0">
    <w:p w:rsidR="006436F8" w:rsidRDefault="006436F8" w:rsidP="00767C7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6F8" w:rsidRDefault="006436F8" w:rsidP="00767C70">
      <w:pPr>
        <w:spacing w:after="0"/>
      </w:pPr>
      <w:r>
        <w:separator/>
      </w:r>
    </w:p>
  </w:footnote>
  <w:footnote w:type="continuationSeparator" w:id="0">
    <w:p w:rsidR="006436F8" w:rsidRDefault="006436F8" w:rsidP="00767C7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261AF"/>
    <w:multiLevelType w:val="hybridMultilevel"/>
    <w:tmpl w:val="5FB2CE8E"/>
    <w:lvl w:ilvl="0" w:tplc="0409000F">
      <w:start w:val="1"/>
      <w:numFmt w:val="decimal"/>
      <w:lvlText w:val="%1."/>
      <w:lvlJc w:val="left"/>
      <w:pPr>
        <w:tabs>
          <w:tab w:val="num" w:pos="420"/>
        </w:tabs>
        <w:ind w:left="420" w:hanging="42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9CB4516"/>
    <w:multiLevelType w:val="hybridMultilevel"/>
    <w:tmpl w:val="4894EBA0"/>
    <w:lvl w:ilvl="0" w:tplc="0409000F">
      <w:start w:val="1"/>
      <w:numFmt w:val="decimal"/>
      <w:lvlText w:val="%1."/>
      <w:lvlJc w:val="left"/>
      <w:pPr>
        <w:tabs>
          <w:tab w:val="num" w:pos="420"/>
        </w:tabs>
        <w:ind w:left="420" w:hanging="42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6436F8"/>
    <w:rsid w:val="00767C70"/>
    <w:rsid w:val="008B7726"/>
    <w:rsid w:val="00A000B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7C7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67C70"/>
    <w:rPr>
      <w:rFonts w:ascii="Tahoma" w:hAnsi="Tahoma"/>
      <w:sz w:val="18"/>
      <w:szCs w:val="18"/>
    </w:rPr>
  </w:style>
  <w:style w:type="paragraph" w:styleId="a4">
    <w:name w:val="footer"/>
    <w:basedOn w:val="a"/>
    <w:link w:val="Char0"/>
    <w:uiPriority w:val="99"/>
    <w:semiHidden/>
    <w:unhideWhenUsed/>
    <w:rsid w:val="00767C70"/>
    <w:pPr>
      <w:tabs>
        <w:tab w:val="center" w:pos="4153"/>
        <w:tab w:val="right" w:pos="8306"/>
      </w:tabs>
    </w:pPr>
    <w:rPr>
      <w:sz w:val="18"/>
      <w:szCs w:val="18"/>
    </w:rPr>
  </w:style>
  <w:style w:type="character" w:customStyle="1" w:styleId="Char0">
    <w:name w:val="页脚 Char"/>
    <w:basedOn w:val="a0"/>
    <w:link w:val="a4"/>
    <w:uiPriority w:val="99"/>
    <w:semiHidden/>
    <w:rsid w:val="00767C7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2015-07-13T07:06:00Z</dcterms:modified>
</cp:coreProperties>
</file>