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32"/>
          <w:szCs w:val="32"/>
        </w:rPr>
      </w:pPr>
      <w:r>
        <w:rPr>
          <w:rFonts w:ascii="黑体" w:hAnsi="宋体" w:eastAsia="黑体" w:cs="黑体"/>
          <w:color w:val="000000"/>
          <w:kern w:val="0"/>
          <w:sz w:val="32"/>
          <w:szCs w:val="32"/>
          <w:lang w:val="en-US" w:eastAsia="zh-CN"/>
        </w:rPr>
        <w:t>附件</w:t>
      </w:r>
      <w:r>
        <w:rPr>
          <w:rFonts w:hint="eastAsia" w:ascii="黑体" w:hAnsi="宋体" w:eastAsia="黑体" w:cs="黑体"/>
          <w:color w:val="000000"/>
          <w:kern w:val="0"/>
          <w:sz w:val="32"/>
          <w:szCs w:val="32"/>
          <w:lang w:val="en-US" w:eastAsia="zh-CN"/>
        </w:rPr>
        <w:t>2</w:t>
      </w:r>
    </w:p>
    <w:p>
      <w:pPr>
        <w:keepNext w:val="0"/>
        <w:keepLines w:val="0"/>
        <w:widowControl/>
        <w:suppressLineNumbers w:val="0"/>
        <w:jc w:val="center"/>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毕业生就业监测数据核查工作报告</w:t>
      </w:r>
    </w:p>
    <w:p>
      <w:pPr>
        <w:keepNext w:val="0"/>
        <w:keepLines w:val="0"/>
        <w:widowControl/>
        <w:suppressLineNumbers w:val="0"/>
        <w:jc w:val="center"/>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（参考模版）</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lang w:val="en-US"/>
        </w:rPr>
      </w:pPr>
      <w:r>
        <w:rPr>
          <w:rFonts w:hint="eastAsia" w:ascii="黑体" w:hAnsi="宋体" w:eastAsia="黑体" w:cs="黑体"/>
          <w:color w:val="000000"/>
          <w:kern w:val="0"/>
          <w:sz w:val="31"/>
          <w:szCs w:val="31"/>
          <w:lang w:val="en-US" w:eastAsia="zh-CN"/>
        </w:rPr>
        <w:t>一、2024届毕业生就业基本情况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lang w:val="en-US" w:eastAsia="zh-CN"/>
        </w:rPr>
        <w:t>经核查，截至</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系毕业生</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人，落实毕业去向</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人，毕业去向落实率</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%。其中签就业协议形式就业</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%；签劳动合同形式就业</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%；其他录用形式就业</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auto"/>
          <w:kern w:val="0"/>
          <w:sz w:val="32"/>
          <w:szCs w:val="32"/>
          <w:lang w:val="en-US" w:eastAsia="zh-CN"/>
        </w:rPr>
        <w:t>科研助理</w:t>
      </w:r>
      <w:r>
        <w:rPr>
          <w:rFonts w:hint="eastAsia" w:ascii="仿宋_GB2312" w:hAnsi="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管理助理</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%；应征义务兵</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none"/>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u w:val="none"/>
          <w:lang w:val="en-US" w:eastAsia="zh-CN"/>
        </w:rPr>
        <w:t>国家基层项目</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%；地方基层项目</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%；自主创业</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%；自由职业</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%；境内升学</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%；境外留学</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none"/>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none"/>
          <w:lang w:val="en-US" w:eastAsia="zh-CN"/>
        </w:rPr>
        <w:t>%；</w:t>
      </w:r>
      <w:r>
        <w:rPr>
          <w:rFonts w:hint="eastAsia" w:ascii="仿宋_GB2312" w:hAnsi="仿宋_GB2312" w:eastAsia="仿宋_GB2312" w:cs="仿宋_GB2312"/>
          <w:color w:val="auto"/>
          <w:kern w:val="0"/>
          <w:sz w:val="32"/>
          <w:szCs w:val="32"/>
          <w:lang w:val="en-US" w:eastAsia="zh-CN"/>
        </w:rPr>
        <w:t>待就业</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人，占比</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%；不就业拟升学</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人，占比</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auto"/>
          <w:kern w:val="0"/>
          <w:sz w:val="32"/>
          <w:szCs w:val="32"/>
          <w:lang w:val="en-US" w:eastAsia="zh-CN"/>
        </w:rPr>
        <w:t>其他暂不就业</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人，占比</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毕业生毕业去向无误</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人；毕业去向有误</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人，其中单位信息有误</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人，更换工作单位</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en-US" w:eastAsia="zh-CN"/>
        </w:rPr>
        <w:t>人，已离职待就业</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cs="仿宋_GB2312"/>
          <w:color w:val="000000"/>
          <w:kern w:val="0"/>
          <w:sz w:val="32"/>
          <w:szCs w:val="32"/>
          <w:u w:val="none"/>
          <w:lang w:val="en-US" w:eastAsia="zh-CN"/>
        </w:rPr>
        <w:t>人。</w:t>
      </w:r>
      <w:r>
        <w:rPr>
          <w:rFonts w:hint="eastAsia" w:ascii="仿宋_GB2312" w:hAnsi="仿宋_GB2312" w:eastAsia="仿宋_GB2312" w:cs="仿宋_GB2312"/>
          <w:color w:val="000000"/>
          <w:kern w:val="0"/>
          <w:sz w:val="32"/>
          <w:szCs w:val="32"/>
          <w:lang w:val="en-US" w:eastAsia="zh-CN"/>
        </w:rPr>
        <w:t>（核查就业基本情况不限于上述内容，其他情况可根据实际进行补充）</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582" w:firstLineChars="188"/>
        <w:jc w:val="left"/>
        <w:textAlignment w:val="auto"/>
      </w:pPr>
      <w:r>
        <w:rPr>
          <w:rFonts w:hint="eastAsia" w:ascii="黑体" w:hAnsi="宋体" w:eastAsia="黑体" w:cs="黑体"/>
          <w:color w:val="000000"/>
          <w:kern w:val="0"/>
          <w:sz w:val="31"/>
          <w:szCs w:val="31"/>
          <w:lang w:val="en-US" w:eastAsia="zh-CN"/>
        </w:rPr>
        <w:t xml:space="preserve">二、就业监测工作落实情况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（一）是否规范开展毕业去向登记和去向监测工作。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（二）是否按照新的毕业去向分类、界定和审核依据严格审核材料。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（三）是否存在材料审核把关不严、就业佐证材料不完整不规范等情况。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（四）是否存在违反“四不准”和“三不得”的行为。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（五）毕业生去向确认情况、去向信息有误毕业生更新去向及再确认情况。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（六）对确认时反馈“从未与该单位签订就业协议、劳动合同或其他录用形式”的去向信息核实处理情况。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（七）疑似虚假就业数据的核实处理情况。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（八）全国高校毕业生就业管理系统中自由职业、自主创业、灵活就业标红数据和疑似扎堆就业情况。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（九）单位核验存在问题（单位名称不存在、单位状态有问题、统一社会信用代码与单位名称不匹配）等异常数据的核实处理情况。</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98" w:firstLineChars="187"/>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（十）国务院“互联网+督查”平台、中国政府网网民留言，以及全国高校毕业生毕业去向登记系统、部省两级举报电话和邮箱等途径反映的举报问题线索的核实处理情况。</w:t>
      </w:r>
      <w:r>
        <w:rPr>
          <w:rFonts w:hint="eastAsia" w:ascii="仿宋_GB2312" w:hAnsi="仿宋_GB2312" w:eastAsia="仿宋_GB2312" w:cs="仿宋_GB2312"/>
          <w:color w:val="000000"/>
          <w:kern w:val="0"/>
          <w:sz w:val="32"/>
          <w:szCs w:val="32"/>
          <w:lang w:val="en-US" w:eastAsia="zh-CN"/>
        </w:rPr>
        <w:t>毕业生去向登记确认有误数据处理情况。</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98" w:firstLineChars="187"/>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（十一）困难群体毕业生就业情况。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firstLine="582" w:firstLineChars="188"/>
        <w:jc w:val="left"/>
        <w:textAlignment w:val="auto"/>
      </w:pPr>
      <w:r>
        <w:rPr>
          <w:rFonts w:hint="eastAsia" w:ascii="黑体" w:hAnsi="宋体" w:eastAsia="黑体" w:cs="黑体"/>
          <w:color w:val="000000"/>
          <w:kern w:val="0"/>
          <w:sz w:val="31"/>
          <w:szCs w:val="31"/>
          <w:lang w:val="en-US" w:eastAsia="zh-CN"/>
        </w:rPr>
        <w:t>三、其他录用形式就业学生情况</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598" w:firstLineChars="187"/>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人数、毕业去向落实率占比、学生现状</w:t>
      </w:r>
      <w:r>
        <w:rPr>
          <w:rFonts w:hint="eastAsia" w:ascii="仿宋_GB2312" w:hAnsi="仿宋_GB2312" w:cs="仿宋_GB2312"/>
          <w:kern w:val="2"/>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582" w:firstLineChars="188"/>
        <w:jc w:val="left"/>
        <w:textAlignment w:val="auto"/>
      </w:pPr>
      <w:r>
        <w:rPr>
          <w:rFonts w:hint="eastAsia" w:ascii="黑体" w:hAnsi="宋体" w:eastAsia="黑体" w:cs="黑体"/>
          <w:color w:val="000000"/>
          <w:kern w:val="0"/>
          <w:sz w:val="31"/>
          <w:szCs w:val="31"/>
          <w:lang w:val="en-US" w:eastAsia="zh-CN"/>
        </w:rPr>
        <w:t>四、被核查系就业监测工作中存在的问题</w:t>
      </w:r>
    </w:p>
    <w:p>
      <w:pPr>
        <w:keepNext w:val="0"/>
        <w:keepLines w:val="0"/>
        <w:pageBreakBefore w:val="0"/>
        <w:kinsoku/>
        <w:wordWrap/>
        <w:overflowPunct/>
        <w:topLinePunct w:val="0"/>
        <w:autoSpaceDE/>
        <w:autoSpaceDN/>
        <w:bidi w:val="0"/>
        <w:adjustRightInd/>
        <w:snapToGrid/>
        <w:spacing w:line="580" w:lineRule="exact"/>
        <w:ind w:left="0" w:leftChars="0" w:firstLine="601" w:firstLineChars="188"/>
        <w:textAlignment w:val="auto"/>
        <w:rPr>
          <w:sz w:val="32"/>
          <w:szCs w:val="32"/>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01" w:firstLineChars="188"/>
        <w:jc w:val="center"/>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cs="仿宋_GB2312"/>
          <w:b w:val="0"/>
          <w:bCs w:val="0"/>
          <w:color w:val="000000"/>
          <w:kern w:val="0"/>
          <w:sz w:val="32"/>
          <w:szCs w:val="32"/>
          <w:lang w:val="en-US" w:eastAsia="zh-CN"/>
        </w:rPr>
        <w:t xml:space="preserve">                   </w:t>
      </w:r>
      <w:r>
        <w:rPr>
          <w:rFonts w:hint="eastAsia" w:ascii="仿宋_GB2312" w:hAnsi="仿宋_GB2312" w:eastAsia="仿宋_GB2312" w:cs="仿宋_GB2312"/>
          <w:b w:val="0"/>
          <w:bCs w:val="0"/>
          <w:color w:val="000000"/>
          <w:kern w:val="0"/>
          <w:sz w:val="32"/>
          <w:szCs w:val="32"/>
          <w:lang w:val="en-US" w:eastAsia="zh-CN"/>
        </w:rPr>
        <w:t>2024年X月X日</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601" w:firstLineChars="188"/>
        <w:jc w:val="center"/>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（公章）</w:t>
      </w:r>
    </w:p>
    <w:p>
      <w:pPr>
        <w:keepNext w:val="0"/>
        <w:keepLines w:val="0"/>
        <w:pageBreakBefore w:val="0"/>
        <w:kinsoku/>
        <w:wordWrap/>
        <w:overflowPunct/>
        <w:topLinePunct w:val="0"/>
        <w:autoSpaceDE/>
        <w:autoSpaceDN/>
        <w:bidi w:val="0"/>
        <w:adjustRightInd/>
        <w:snapToGrid/>
        <w:spacing w:line="580" w:lineRule="exact"/>
        <w:ind w:left="0" w:leftChars="0" w:firstLine="601" w:firstLineChars="188"/>
        <w:textAlignment w:val="auto"/>
        <w:rPr>
          <w:rFonts w:hint="eastAsia" w:ascii="仿宋_GB2312" w:hAnsi="仿宋_GB2312" w:eastAsia="仿宋_GB2312" w:cs="仿宋_GB2312"/>
          <w:sz w:val="32"/>
          <w:szCs w:val="32"/>
        </w:rPr>
      </w:pPr>
    </w:p>
    <w:p>
      <w:pPr>
        <w:ind w:left="0" w:leftChars="0" w:firstLine="601" w:firstLineChars="188"/>
        <w:rPr>
          <w:sz w:val="32"/>
          <w:szCs w:val="32"/>
        </w:rPr>
      </w:pPr>
    </w:p>
    <w:p>
      <w:pPr>
        <w:rPr>
          <w:sz w:val="32"/>
          <w:szCs w:val="32"/>
        </w:rPr>
        <w:sectPr>
          <w:footerReference r:id="rId3" w:type="default"/>
          <w:pgSz w:w="11906" w:h="16838"/>
          <w:pgMar w:top="1440" w:right="1706" w:bottom="1440" w:left="1500" w:header="851" w:footer="992" w:gutter="0"/>
          <w:pgNumType w:fmt="decimal"/>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4607560</wp:posOffset>
              </wp:positionH>
              <wp:positionV relativeFrom="paragraph">
                <wp:posOffset>0</wp:posOffset>
              </wp:positionV>
              <wp:extent cx="7359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59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仿宋_GB2312"/>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2.8pt;margin-top:0pt;height:144pt;width:57.95pt;mso-position-horizontal-relative:margin;z-index:251659264;mso-width-relative:page;mso-height-relative:page;" filled="f" stroked="f" coordsize="21600,21600" o:gfxdata="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kxy5NcAAAAIAQAADwAAAAAAAAABACAAAAAiAAAAZHJzL2Rvd25y&#10;ZXYueG1sUEsBAhQAFAAAAAgAh07iQDG8gKc4AgAAYgQAAA4AAAAAAAAAAQAgAAAAJgEAAGRycy9l&#10;Mm9Eb2MueG1sUEsFBgAAAAAGAAYAWQEAANAFAAAAAA==&#10;">
              <v:fill on="f" focussize="0,0"/>
              <v:stroke on="f" weight="0.5pt"/>
              <v:imagedata o:title=""/>
              <o:lock v:ext="edit" aspectratio="f"/>
              <v:textbox inset="0mm,0mm,0mm,0mm" style="mso-fit-shape-to-text:t;">
                <w:txbxContent>
                  <w:p>
                    <w:pPr>
                      <w:pStyle w:val="3"/>
                      <w:rPr>
                        <w:rFonts w:hint="default" w:eastAsia="仿宋_GB2312"/>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zEwMWU3ZjRkZjYzOTYzMDFjYTY2YzU1ZWNhOTEifQ=="/>
  </w:docVars>
  <w:rsids>
    <w:rsidRoot w:val="649B5622"/>
    <w:rsid w:val="649B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2024-07-22T02:56:00Z</dcterms:created>
  <dc:creator>张盼第</dc:creator>
  <cp:lastModifiedBy>张盼第</cp:lastModifiedBy>
  <dcterms:modified xsi:type="dcterms:W3CDTF">2024-07-22T02:56:25Z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55510A44C5D246D1A6D6F6E4C44C8B43_11</vt:lpwstr>
  </property>
</Properties>
</file>